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F1549" w14:textId="77777777" w:rsidR="00300EEE" w:rsidRDefault="00000000">
      <w:pPr>
        <w:pStyle w:val="Title"/>
      </w:pPr>
      <w:r>
        <w:t>INFORMATION</w:t>
      </w:r>
      <w:r>
        <w:rPr>
          <w:spacing w:val="-6"/>
        </w:rPr>
        <w:t xml:space="preserve"> </w:t>
      </w:r>
      <w:r>
        <w:t>FOR</w:t>
      </w:r>
      <w:r>
        <w:rPr>
          <w:spacing w:val="-3"/>
        </w:rPr>
        <w:t xml:space="preserve"> </w:t>
      </w:r>
      <w:r>
        <w:t>COLORADO</w:t>
      </w:r>
      <w:r>
        <w:rPr>
          <w:spacing w:val="-3"/>
        </w:rPr>
        <w:t xml:space="preserve"> </w:t>
      </w:r>
      <w:r>
        <w:t>PRESCRIBERS</w:t>
      </w:r>
      <w:r>
        <w:rPr>
          <w:spacing w:val="-4"/>
        </w:rPr>
        <w:t xml:space="preserve"> </w:t>
      </w:r>
      <w:r>
        <w:t>OF</w:t>
      </w:r>
      <w:r>
        <w:rPr>
          <w:spacing w:val="-3"/>
        </w:rPr>
        <w:t xml:space="preserve"> </w:t>
      </w:r>
      <w:r>
        <w:t>PRESCRIPTION</w:t>
      </w:r>
      <w:r>
        <w:rPr>
          <w:spacing w:val="-3"/>
        </w:rPr>
        <w:t xml:space="preserve"> </w:t>
      </w:r>
      <w:r>
        <w:rPr>
          <w:spacing w:val="-2"/>
        </w:rPr>
        <w:t>DRUGS</w:t>
      </w:r>
    </w:p>
    <w:p w14:paraId="19B0746D" w14:textId="77777777" w:rsidR="00300EEE" w:rsidRDefault="00000000">
      <w:pPr>
        <w:spacing w:before="40"/>
        <w:ind w:left="4" w:right="20"/>
        <w:jc w:val="center"/>
        <w:rPr>
          <w:sz w:val="20"/>
        </w:rPr>
      </w:pPr>
      <w:r>
        <w:rPr>
          <w:sz w:val="20"/>
        </w:rPr>
        <w:t>VOWST</w:t>
      </w:r>
      <w:r>
        <w:rPr>
          <w:position w:val="6"/>
          <w:sz w:val="13"/>
        </w:rPr>
        <w:t>®</w:t>
      </w:r>
      <w:r>
        <w:rPr>
          <w:spacing w:val="9"/>
          <w:position w:val="6"/>
          <w:sz w:val="13"/>
        </w:rPr>
        <w:t xml:space="preserve"> </w:t>
      </w:r>
      <w:r>
        <w:rPr>
          <w:color w:val="2E2E2E"/>
          <w:sz w:val="20"/>
        </w:rPr>
        <w:t>(fecal</w:t>
      </w:r>
      <w:r>
        <w:rPr>
          <w:color w:val="2E2E2E"/>
          <w:spacing w:val="-9"/>
          <w:sz w:val="20"/>
        </w:rPr>
        <w:t xml:space="preserve"> </w:t>
      </w:r>
      <w:r>
        <w:rPr>
          <w:color w:val="2E2E2E"/>
          <w:sz w:val="20"/>
        </w:rPr>
        <w:t>microbiota</w:t>
      </w:r>
      <w:r>
        <w:rPr>
          <w:color w:val="2E2E2E"/>
          <w:spacing w:val="-10"/>
          <w:sz w:val="20"/>
        </w:rPr>
        <w:t xml:space="preserve"> </w:t>
      </w:r>
      <w:r>
        <w:rPr>
          <w:color w:val="2E2E2E"/>
          <w:sz w:val="20"/>
        </w:rPr>
        <w:t>spores,</w:t>
      </w:r>
      <w:r>
        <w:rPr>
          <w:color w:val="2E2E2E"/>
          <w:spacing w:val="-10"/>
          <w:sz w:val="20"/>
        </w:rPr>
        <w:t xml:space="preserve"> </w:t>
      </w:r>
      <w:r>
        <w:rPr>
          <w:color w:val="2E2E2E"/>
          <w:sz w:val="20"/>
        </w:rPr>
        <w:t>live-</w:t>
      </w:r>
      <w:proofErr w:type="spellStart"/>
      <w:r>
        <w:rPr>
          <w:color w:val="2E2E2E"/>
          <w:spacing w:val="-2"/>
          <w:sz w:val="20"/>
        </w:rPr>
        <w:t>brpk</w:t>
      </w:r>
      <w:proofErr w:type="spellEnd"/>
      <w:r>
        <w:rPr>
          <w:color w:val="2E2E2E"/>
          <w:spacing w:val="-2"/>
          <w:sz w:val="20"/>
        </w:rPr>
        <w:t>)</w:t>
      </w:r>
    </w:p>
    <w:p w14:paraId="216F4A73" w14:textId="77777777" w:rsidR="00300EEE" w:rsidRDefault="00300EEE">
      <w:pPr>
        <w:pStyle w:val="BodyText"/>
        <w:rPr>
          <w:sz w:val="20"/>
        </w:rPr>
      </w:pPr>
    </w:p>
    <w:p w14:paraId="4587D0E1" w14:textId="77777777" w:rsidR="00300EEE" w:rsidRDefault="00300EEE">
      <w:pPr>
        <w:pStyle w:val="BodyText"/>
        <w:spacing w:before="51"/>
        <w:rPr>
          <w:sz w:val="20"/>
        </w:rPr>
      </w:pPr>
    </w:p>
    <w:p w14:paraId="06651CF0" w14:textId="77777777" w:rsidR="00300EEE" w:rsidRDefault="00000000">
      <w:pPr>
        <w:spacing w:before="1" w:line="276" w:lineRule="auto"/>
        <w:ind w:left="100" w:right="316"/>
        <w:jc w:val="both"/>
      </w:pPr>
      <w:r>
        <w:t>Colorado law requires</w:t>
      </w:r>
      <w:r>
        <w:rPr>
          <w:spacing w:val="-1"/>
        </w:rPr>
        <w:t xml:space="preserve"> </w:t>
      </w:r>
      <w:r>
        <w:t>manufacturers to</w:t>
      </w:r>
      <w:r>
        <w:rPr>
          <w:spacing w:val="-1"/>
        </w:rPr>
        <w:t xml:space="preserve"> </w:t>
      </w:r>
      <w:r>
        <w:t>provide the names</w:t>
      </w:r>
      <w:r>
        <w:rPr>
          <w:spacing w:val="-1"/>
        </w:rPr>
        <w:t xml:space="preserve"> </w:t>
      </w:r>
      <w:r>
        <w:t>of up</w:t>
      </w:r>
      <w:r>
        <w:rPr>
          <w:spacing w:val="-1"/>
        </w:rPr>
        <w:t xml:space="preserve"> </w:t>
      </w:r>
      <w:r>
        <w:t>to</w:t>
      </w:r>
      <w:r>
        <w:rPr>
          <w:spacing w:val="-1"/>
        </w:rPr>
        <w:t xml:space="preserve"> </w:t>
      </w:r>
      <w:r>
        <w:t>three</w:t>
      </w:r>
      <w:r>
        <w:rPr>
          <w:spacing w:val="-1"/>
        </w:rPr>
        <w:t xml:space="preserve"> </w:t>
      </w:r>
      <w:r>
        <w:t>(3) available generic prescription</w:t>
      </w:r>
      <w:r>
        <w:rPr>
          <w:spacing w:val="-3"/>
        </w:rPr>
        <w:t xml:space="preserve"> </w:t>
      </w:r>
      <w:r>
        <w:t>drugs</w:t>
      </w:r>
      <w:r>
        <w:rPr>
          <w:spacing w:val="-3"/>
        </w:rPr>
        <w:t xml:space="preserve"> </w:t>
      </w:r>
      <w:r>
        <w:t>from</w:t>
      </w:r>
      <w:r>
        <w:rPr>
          <w:spacing w:val="-2"/>
        </w:rPr>
        <w:t xml:space="preserve"> </w:t>
      </w:r>
      <w:r>
        <w:t>the</w:t>
      </w:r>
      <w:r>
        <w:rPr>
          <w:spacing w:val="-1"/>
        </w:rPr>
        <w:t xml:space="preserve"> </w:t>
      </w:r>
      <w:r>
        <w:t>same</w:t>
      </w:r>
      <w:r>
        <w:rPr>
          <w:spacing w:val="-3"/>
        </w:rPr>
        <w:t xml:space="preserve"> </w:t>
      </w:r>
      <w:r>
        <w:t>“therapeutic</w:t>
      </w:r>
      <w:r>
        <w:rPr>
          <w:spacing w:val="-3"/>
        </w:rPr>
        <w:t xml:space="preserve"> </w:t>
      </w:r>
      <w:r>
        <w:t>class” as</w:t>
      </w:r>
      <w:r>
        <w:rPr>
          <w:spacing w:val="-3"/>
        </w:rPr>
        <w:t xml:space="preserve"> </w:t>
      </w:r>
      <w:r>
        <w:t>the</w:t>
      </w:r>
      <w:r>
        <w:rPr>
          <w:spacing w:val="-3"/>
        </w:rPr>
        <w:t xml:space="preserve"> </w:t>
      </w:r>
      <w:r>
        <w:t>Marketed</w:t>
      </w:r>
      <w:r>
        <w:rPr>
          <w:spacing w:val="-3"/>
        </w:rPr>
        <w:t xml:space="preserve"> </w:t>
      </w:r>
      <w:r>
        <w:t>Product(s).</w:t>
      </w:r>
      <w:r>
        <w:rPr>
          <w:spacing w:val="-2"/>
        </w:rPr>
        <w:t xml:space="preserve"> </w:t>
      </w:r>
      <w:r>
        <w:t>“Therapeutic class”</w:t>
      </w:r>
      <w:r>
        <w:rPr>
          <w:spacing w:val="-1"/>
        </w:rPr>
        <w:t xml:space="preserve"> </w:t>
      </w:r>
      <w:r>
        <w:t>is</w:t>
      </w:r>
      <w:r>
        <w:rPr>
          <w:spacing w:val="-1"/>
        </w:rPr>
        <w:t xml:space="preserve"> </w:t>
      </w:r>
      <w:r>
        <w:t>defined</w:t>
      </w:r>
      <w:r>
        <w:rPr>
          <w:spacing w:val="-2"/>
        </w:rPr>
        <w:t xml:space="preserve"> </w:t>
      </w:r>
      <w:r>
        <w:t>under</w:t>
      </w:r>
      <w:r>
        <w:rPr>
          <w:spacing w:val="-1"/>
        </w:rPr>
        <w:t xml:space="preserve"> </w:t>
      </w:r>
      <w:r>
        <w:t>Colorado</w:t>
      </w:r>
      <w:r>
        <w:rPr>
          <w:spacing w:val="-2"/>
        </w:rPr>
        <w:t xml:space="preserve"> </w:t>
      </w:r>
      <w:r>
        <w:t>law</w:t>
      </w:r>
      <w:r>
        <w:rPr>
          <w:spacing w:val="-2"/>
        </w:rPr>
        <w:t xml:space="preserve"> </w:t>
      </w:r>
      <w:r>
        <w:t>as</w:t>
      </w:r>
      <w:r>
        <w:rPr>
          <w:spacing w:val="-4"/>
        </w:rPr>
        <w:t xml:space="preserve"> </w:t>
      </w:r>
      <w:r>
        <w:t>“a</w:t>
      </w:r>
      <w:r>
        <w:rPr>
          <w:spacing w:val="-2"/>
        </w:rPr>
        <w:t xml:space="preserve"> </w:t>
      </w:r>
      <w:r>
        <w:t>group</w:t>
      </w:r>
      <w:r>
        <w:rPr>
          <w:spacing w:val="-4"/>
        </w:rPr>
        <w:t xml:space="preserve"> </w:t>
      </w:r>
      <w:r>
        <w:t>of</w:t>
      </w:r>
      <w:r>
        <w:rPr>
          <w:spacing w:val="-1"/>
        </w:rPr>
        <w:t xml:space="preserve"> </w:t>
      </w:r>
      <w:r>
        <w:t>similar</w:t>
      </w:r>
      <w:r>
        <w:rPr>
          <w:spacing w:val="-1"/>
        </w:rPr>
        <w:t xml:space="preserve"> </w:t>
      </w:r>
      <w:r>
        <w:t>drugs</w:t>
      </w:r>
      <w:r>
        <w:rPr>
          <w:spacing w:val="-6"/>
        </w:rPr>
        <w:t xml:space="preserve"> </w:t>
      </w:r>
      <w:r>
        <w:t>that</w:t>
      </w:r>
      <w:r>
        <w:rPr>
          <w:spacing w:val="-3"/>
        </w:rPr>
        <w:t xml:space="preserve"> </w:t>
      </w:r>
      <w:r>
        <w:t>have</w:t>
      </w:r>
      <w:r>
        <w:rPr>
          <w:spacing w:val="-2"/>
        </w:rPr>
        <w:t xml:space="preserve"> </w:t>
      </w:r>
      <w:r>
        <w:t>the</w:t>
      </w:r>
      <w:r>
        <w:rPr>
          <w:spacing w:val="-4"/>
        </w:rPr>
        <w:t xml:space="preserve"> </w:t>
      </w:r>
      <w:r>
        <w:t>same</w:t>
      </w:r>
      <w:r>
        <w:rPr>
          <w:spacing w:val="-4"/>
        </w:rPr>
        <w:t xml:space="preserve"> </w:t>
      </w:r>
      <w:r>
        <w:t>or</w:t>
      </w:r>
      <w:r>
        <w:rPr>
          <w:spacing w:val="-3"/>
        </w:rPr>
        <w:t xml:space="preserve"> </w:t>
      </w:r>
      <w:r>
        <w:t>similar mechanisms of action and are used to treat a specific condition.”</w:t>
      </w:r>
    </w:p>
    <w:p w14:paraId="7013C474" w14:textId="77777777" w:rsidR="00300EEE" w:rsidRDefault="00300EEE">
      <w:pPr>
        <w:pStyle w:val="BodyText"/>
        <w:spacing w:before="37"/>
        <w:rPr>
          <w:sz w:val="22"/>
        </w:rPr>
      </w:pPr>
    </w:p>
    <w:p w14:paraId="416488DB" w14:textId="77777777" w:rsidR="00300EEE" w:rsidRDefault="00000000">
      <w:pPr>
        <w:spacing w:line="276" w:lineRule="auto"/>
        <w:ind w:left="100" w:right="133"/>
      </w:pPr>
      <w:r>
        <w:t>The</w:t>
      </w:r>
      <w:r>
        <w:rPr>
          <w:spacing w:val="-3"/>
        </w:rPr>
        <w:t xml:space="preserve"> </w:t>
      </w:r>
      <w:r>
        <w:t>prices</w:t>
      </w:r>
      <w:r>
        <w:rPr>
          <w:spacing w:val="-5"/>
        </w:rPr>
        <w:t xml:space="preserve"> </w:t>
      </w:r>
      <w:r>
        <w:t>listed</w:t>
      </w:r>
      <w:r>
        <w:rPr>
          <w:spacing w:val="-3"/>
        </w:rPr>
        <w:t xml:space="preserve"> </w:t>
      </w:r>
      <w:r>
        <w:t>below</w:t>
      </w:r>
      <w:r>
        <w:rPr>
          <w:spacing w:val="-4"/>
        </w:rPr>
        <w:t xml:space="preserve"> </w:t>
      </w:r>
      <w:r>
        <w:t>are</w:t>
      </w:r>
      <w:r>
        <w:rPr>
          <w:spacing w:val="-5"/>
        </w:rPr>
        <w:t xml:space="preserve"> </w:t>
      </w:r>
      <w:r>
        <w:t>the</w:t>
      </w:r>
      <w:r>
        <w:rPr>
          <w:spacing w:val="-5"/>
        </w:rPr>
        <w:t xml:space="preserve"> </w:t>
      </w:r>
      <w:r>
        <w:t>Wholesale</w:t>
      </w:r>
      <w:r>
        <w:rPr>
          <w:spacing w:val="-16"/>
        </w:rPr>
        <w:t xml:space="preserve"> </w:t>
      </w:r>
      <w:r>
        <w:t>Acquisition</w:t>
      </w:r>
      <w:r>
        <w:rPr>
          <w:spacing w:val="-2"/>
        </w:rPr>
        <w:t xml:space="preserve"> </w:t>
      </w:r>
      <w:r>
        <w:t>Cost</w:t>
      </w:r>
      <w:r>
        <w:rPr>
          <w:spacing w:val="-4"/>
        </w:rPr>
        <w:t xml:space="preserve"> </w:t>
      </w:r>
      <w:r>
        <w:t>(“WAC”)</w:t>
      </w:r>
      <w:r>
        <w:rPr>
          <w:spacing w:val="-4"/>
        </w:rPr>
        <w:t xml:space="preserve"> </w:t>
      </w:r>
      <w:r>
        <w:t>made</w:t>
      </w:r>
      <w:r>
        <w:rPr>
          <w:spacing w:val="-7"/>
        </w:rPr>
        <w:t xml:space="preserve"> </w:t>
      </w:r>
      <w:r>
        <w:t>available</w:t>
      </w:r>
      <w:r>
        <w:rPr>
          <w:spacing w:val="-3"/>
        </w:rPr>
        <w:t xml:space="preserve"> </w:t>
      </w:r>
      <w:r>
        <w:t>to</w:t>
      </w:r>
      <w:r>
        <w:rPr>
          <w:spacing w:val="-3"/>
        </w:rPr>
        <w:t xml:space="preserve"> </w:t>
      </w:r>
      <w:r>
        <w:t>the</w:t>
      </w:r>
      <w:r>
        <w:rPr>
          <w:spacing w:val="-5"/>
        </w:rPr>
        <w:t xml:space="preserve"> </w:t>
      </w:r>
      <w:r>
        <w:t>public by a third-party publisher. The price paid by consumers may be higher or lower than the prices listed below. Information about the WAC for this drug is being provided to Colorado prescribers pursuant to Colorado law, to give prescribers drug cost information about Nestlé Health Science's marketed pharmaceutical products and the names of certain available generic drugs in the same therapeutic class.</w:t>
      </w:r>
    </w:p>
    <w:p w14:paraId="48E316FE" w14:textId="77777777" w:rsidR="00300EEE" w:rsidRDefault="00300EEE">
      <w:pPr>
        <w:pStyle w:val="BodyText"/>
        <w:spacing w:before="37"/>
        <w:rPr>
          <w:sz w:val="22"/>
        </w:rPr>
      </w:pPr>
    </w:p>
    <w:p w14:paraId="4AF5FB85" w14:textId="77777777" w:rsidR="00300EEE" w:rsidRDefault="00000000">
      <w:pPr>
        <w:spacing w:before="1"/>
        <w:ind w:left="100"/>
        <w:rPr>
          <w:b/>
        </w:rPr>
      </w:pPr>
      <w:r>
        <w:rPr>
          <w:b/>
        </w:rPr>
        <w:t>Marketed</w:t>
      </w:r>
      <w:r>
        <w:rPr>
          <w:b/>
          <w:spacing w:val="-2"/>
        </w:rPr>
        <w:t xml:space="preserve"> Product*:</w:t>
      </w:r>
    </w:p>
    <w:p w14:paraId="59BEF0B6" w14:textId="77777777" w:rsidR="00300EEE" w:rsidRDefault="00300EEE">
      <w:pPr>
        <w:pStyle w:val="BodyText"/>
        <w:spacing w:before="10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300EEE" w14:paraId="39A4D4C5" w14:textId="77777777">
        <w:trPr>
          <w:trHeight w:val="316"/>
        </w:trPr>
        <w:tc>
          <w:tcPr>
            <w:tcW w:w="3116" w:type="dxa"/>
            <w:shd w:val="clear" w:color="auto" w:fill="BEBEBE"/>
          </w:tcPr>
          <w:p w14:paraId="0D255654" w14:textId="77777777" w:rsidR="00300EEE" w:rsidRDefault="00000000">
            <w:pPr>
              <w:pStyle w:val="TableParagraph"/>
              <w:rPr>
                <w:sz w:val="24"/>
              </w:rPr>
            </w:pPr>
            <w:r>
              <w:rPr>
                <w:sz w:val="24"/>
              </w:rPr>
              <w:t>PRODUCT</w:t>
            </w:r>
            <w:r>
              <w:rPr>
                <w:spacing w:val="-10"/>
                <w:sz w:val="24"/>
              </w:rPr>
              <w:t xml:space="preserve"> </w:t>
            </w:r>
            <w:r>
              <w:rPr>
                <w:spacing w:val="-2"/>
                <w:sz w:val="24"/>
              </w:rPr>
              <w:t>DESCRIPTION</w:t>
            </w:r>
          </w:p>
        </w:tc>
        <w:tc>
          <w:tcPr>
            <w:tcW w:w="3118" w:type="dxa"/>
            <w:shd w:val="clear" w:color="auto" w:fill="BEBEBE"/>
          </w:tcPr>
          <w:p w14:paraId="6C6D90AE" w14:textId="77777777" w:rsidR="00300EEE" w:rsidRDefault="00000000">
            <w:pPr>
              <w:pStyle w:val="TableParagraph"/>
              <w:rPr>
                <w:sz w:val="24"/>
              </w:rPr>
            </w:pPr>
            <w:r>
              <w:rPr>
                <w:spacing w:val="-5"/>
                <w:sz w:val="24"/>
              </w:rPr>
              <w:t>WAC</w:t>
            </w:r>
          </w:p>
        </w:tc>
        <w:tc>
          <w:tcPr>
            <w:tcW w:w="3118" w:type="dxa"/>
            <w:shd w:val="clear" w:color="auto" w:fill="BEBEBE"/>
          </w:tcPr>
          <w:p w14:paraId="42545DF2" w14:textId="77777777" w:rsidR="00300EEE" w:rsidRDefault="00000000">
            <w:pPr>
              <w:pStyle w:val="TableParagraph"/>
              <w:rPr>
                <w:sz w:val="24"/>
              </w:rPr>
            </w:pPr>
            <w:r>
              <w:rPr>
                <w:sz w:val="24"/>
              </w:rPr>
              <w:t>Package</w:t>
            </w:r>
            <w:r>
              <w:rPr>
                <w:spacing w:val="-6"/>
                <w:sz w:val="24"/>
              </w:rPr>
              <w:t xml:space="preserve"> </w:t>
            </w:r>
            <w:r>
              <w:rPr>
                <w:spacing w:val="-4"/>
                <w:sz w:val="24"/>
              </w:rPr>
              <w:t>Size</w:t>
            </w:r>
          </w:p>
        </w:tc>
      </w:tr>
      <w:tr w:rsidR="00300EEE" w14:paraId="22A270B5" w14:textId="77777777">
        <w:trPr>
          <w:trHeight w:val="318"/>
        </w:trPr>
        <w:tc>
          <w:tcPr>
            <w:tcW w:w="3116" w:type="dxa"/>
            <w:shd w:val="clear" w:color="auto" w:fill="F1F1F1"/>
          </w:tcPr>
          <w:p w14:paraId="03836AD4" w14:textId="77777777" w:rsidR="00300EEE" w:rsidRDefault="00000000">
            <w:pPr>
              <w:pStyle w:val="TableParagraph"/>
              <w:rPr>
                <w:sz w:val="24"/>
              </w:rPr>
            </w:pPr>
            <w:r>
              <w:rPr>
                <w:spacing w:val="-2"/>
                <w:sz w:val="24"/>
              </w:rPr>
              <w:t>VOWST</w:t>
            </w:r>
          </w:p>
        </w:tc>
        <w:tc>
          <w:tcPr>
            <w:tcW w:w="3118" w:type="dxa"/>
            <w:shd w:val="clear" w:color="auto" w:fill="F1F1F1"/>
          </w:tcPr>
          <w:p w14:paraId="63A5F1A6" w14:textId="7B6A1656" w:rsidR="00300EEE" w:rsidRPr="00A0207C" w:rsidRDefault="00A0207C">
            <w:pPr>
              <w:pStyle w:val="TableParagraph"/>
              <w:rPr>
                <w:sz w:val="24"/>
              </w:rPr>
            </w:pPr>
            <w:r>
              <w:rPr>
                <w:sz w:val="24"/>
              </w:rPr>
              <w:t>$19,106.50</w:t>
            </w:r>
          </w:p>
        </w:tc>
        <w:tc>
          <w:tcPr>
            <w:tcW w:w="3118" w:type="dxa"/>
            <w:shd w:val="clear" w:color="auto" w:fill="F1F1F1"/>
          </w:tcPr>
          <w:p w14:paraId="703454B4" w14:textId="77777777" w:rsidR="00300EEE" w:rsidRDefault="00000000">
            <w:pPr>
              <w:pStyle w:val="TableParagraph"/>
              <w:rPr>
                <w:sz w:val="24"/>
              </w:rPr>
            </w:pPr>
            <w:r>
              <w:rPr>
                <w:sz w:val="24"/>
              </w:rPr>
              <w:t>12</w:t>
            </w:r>
            <w:r>
              <w:rPr>
                <w:spacing w:val="-4"/>
                <w:sz w:val="24"/>
              </w:rPr>
              <w:t xml:space="preserve"> </w:t>
            </w:r>
            <w:r>
              <w:rPr>
                <w:sz w:val="24"/>
              </w:rPr>
              <w:t>capsules</w:t>
            </w:r>
            <w:r>
              <w:rPr>
                <w:spacing w:val="-2"/>
                <w:sz w:val="24"/>
              </w:rPr>
              <w:t xml:space="preserve"> </w:t>
            </w:r>
            <w:r>
              <w:rPr>
                <w:sz w:val="24"/>
              </w:rPr>
              <w:t>in</w:t>
            </w:r>
            <w:r>
              <w:rPr>
                <w:spacing w:val="-1"/>
                <w:sz w:val="24"/>
              </w:rPr>
              <w:t xml:space="preserve"> </w:t>
            </w:r>
            <w:r>
              <w:rPr>
                <w:sz w:val="24"/>
              </w:rPr>
              <w:t>1</w:t>
            </w:r>
            <w:r>
              <w:rPr>
                <w:spacing w:val="-2"/>
                <w:sz w:val="24"/>
              </w:rPr>
              <w:t xml:space="preserve"> bottle</w:t>
            </w:r>
          </w:p>
        </w:tc>
      </w:tr>
    </w:tbl>
    <w:p w14:paraId="4CCA9836" w14:textId="77777777" w:rsidR="00300EEE" w:rsidRDefault="00300EEE">
      <w:pPr>
        <w:pStyle w:val="BodyText"/>
        <w:spacing w:before="64"/>
        <w:rPr>
          <w:b/>
          <w:sz w:val="22"/>
        </w:rPr>
      </w:pPr>
    </w:p>
    <w:p w14:paraId="133E1BE6" w14:textId="77777777" w:rsidR="00300EEE" w:rsidRDefault="00000000">
      <w:pPr>
        <w:ind w:left="100"/>
        <w:rPr>
          <w:b/>
        </w:rPr>
      </w:pPr>
      <w:r>
        <w:rPr>
          <w:b/>
        </w:rPr>
        <w:t>Generic</w:t>
      </w:r>
      <w:r>
        <w:rPr>
          <w:b/>
          <w:spacing w:val="-5"/>
        </w:rPr>
        <w:t xml:space="preserve"> </w:t>
      </w:r>
      <w:r>
        <w:rPr>
          <w:b/>
          <w:spacing w:val="-2"/>
        </w:rPr>
        <w:t>Drugs**:</w:t>
      </w:r>
    </w:p>
    <w:p w14:paraId="50C0F695" w14:textId="77777777" w:rsidR="00300EEE" w:rsidRDefault="00000000">
      <w:pPr>
        <w:spacing w:before="38"/>
        <w:ind w:left="100"/>
      </w:pPr>
      <w:r>
        <w:t>There</w:t>
      </w:r>
      <w:r>
        <w:rPr>
          <w:spacing w:val="-6"/>
        </w:rPr>
        <w:t xml:space="preserve"> </w:t>
      </w:r>
      <w:r>
        <w:t>are</w:t>
      </w:r>
      <w:r>
        <w:rPr>
          <w:spacing w:val="-4"/>
        </w:rPr>
        <w:t xml:space="preserve"> </w:t>
      </w:r>
      <w:r>
        <w:t>no</w:t>
      </w:r>
      <w:r>
        <w:rPr>
          <w:spacing w:val="-6"/>
        </w:rPr>
        <w:t xml:space="preserve"> </w:t>
      </w:r>
      <w:r>
        <w:t>generic</w:t>
      </w:r>
      <w:r>
        <w:rPr>
          <w:spacing w:val="-5"/>
        </w:rPr>
        <w:t xml:space="preserve"> </w:t>
      </w:r>
      <w:r>
        <w:t>drugs</w:t>
      </w:r>
      <w:r>
        <w:rPr>
          <w:spacing w:val="-4"/>
        </w:rPr>
        <w:t xml:space="preserve"> </w:t>
      </w:r>
      <w:r>
        <w:t>or</w:t>
      </w:r>
      <w:r>
        <w:rPr>
          <w:spacing w:val="-5"/>
        </w:rPr>
        <w:t xml:space="preserve"> </w:t>
      </w:r>
      <w:r>
        <w:t>biosimilars</w:t>
      </w:r>
      <w:r>
        <w:rPr>
          <w:spacing w:val="-4"/>
        </w:rPr>
        <w:t xml:space="preserve"> </w:t>
      </w:r>
      <w:r>
        <w:t>to</w:t>
      </w:r>
      <w:r>
        <w:rPr>
          <w:spacing w:val="-6"/>
        </w:rPr>
        <w:t xml:space="preserve"> </w:t>
      </w:r>
      <w:r>
        <w:t>the</w:t>
      </w:r>
      <w:r>
        <w:rPr>
          <w:spacing w:val="-4"/>
        </w:rPr>
        <w:t xml:space="preserve"> </w:t>
      </w:r>
      <w:r>
        <w:t>above</w:t>
      </w:r>
      <w:r>
        <w:rPr>
          <w:spacing w:val="-4"/>
        </w:rPr>
        <w:t xml:space="preserve"> </w:t>
      </w:r>
      <w:r>
        <w:t>Marketed</w:t>
      </w:r>
      <w:r>
        <w:rPr>
          <w:spacing w:val="-4"/>
        </w:rPr>
        <w:t xml:space="preserve"> </w:t>
      </w:r>
      <w:r>
        <w:rPr>
          <w:spacing w:val="-2"/>
        </w:rPr>
        <w:t>Product</w:t>
      </w:r>
    </w:p>
    <w:p w14:paraId="15C09C88" w14:textId="77777777" w:rsidR="00300EEE" w:rsidRDefault="00300EEE">
      <w:pPr>
        <w:pStyle w:val="BodyText"/>
        <w:spacing w:before="1"/>
        <w:rPr>
          <w:sz w:val="22"/>
        </w:rPr>
      </w:pPr>
    </w:p>
    <w:p w14:paraId="1941BE30" w14:textId="75B5468E" w:rsidR="00300EEE" w:rsidRDefault="00000000">
      <w:pPr>
        <w:pStyle w:val="BodyText"/>
        <w:spacing w:line="276" w:lineRule="auto"/>
        <w:ind w:left="100" w:right="133"/>
      </w:pPr>
      <w:r>
        <w:t xml:space="preserve">*This information is being provided pursuant to Colo. Rev. </w:t>
      </w:r>
      <w:r>
        <w:rPr>
          <w:color w:val="313131"/>
          <w:sz w:val="14"/>
        </w:rPr>
        <w:t>Stat. § 12-280-308</w:t>
      </w:r>
      <w:r>
        <w:t xml:space="preserve">. The information is accurate as </w:t>
      </w:r>
      <w:r w:rsidR="00A0207C">
        <w:t>of January 10, 2025.</w:t>
      </w:r>
      <w:r>
        <w:t xml:space="preserve"> For the most current WAC price, please visit </w:t>
      </w:r>
      <w:hyperlink r:id="rId6">
        <w:r w:rsidR="00300EEE">
          <w:rPr>
            <w:color w:val="467885"/>
            <w:u w:val="single" w:color="467885"/>
          </w:rPr>
          <w:t>www.vowst.com/WACdisclosure</w:t>
        </w:r>
        <w:r w:rsidR="00300EEE">
          <w:t>.</w:t>
        </w:r>
      </w:hyperlink>
      <w:r>
        <w:t xml:space="preserve"> The prices listed are WAC prices, which represent</w:t>
      </w:r>
      <w:r>
        <w:rPr>
          <w:spacing w:val="40"/>
        </w:rPr>
        <w:t xml:space="preserve"> </w:t>
      </w:r>
      <w:proofErr w:type="spellStart"/>
      <w:r>
        <w:t>Aimmune’s</w:t>
      </w:r>
      <w:proofErr w:type="spellEnd"/>
      <w:r>
        <w:rPr>
          <w:spacing w:val="-1"/>
        </w:rPr>
        <w:t xml:space="preserve"> </w:t>
      </w:r>
      <w:r>
        <w:t>published</w:t>
      </w:r>
      <w:r>
        <w:rPr>
          <w:spacing w:val="-1"/>
        </w:rPr>
        <w:t xml:space="preserve"> </w:t>
      </w:r>
      <w:r>
        <w:t>list</w:t>
      </w:r>
      <w:r>
        <w:rPr>
          <w:spacing w:val="-2"/>
        </w:rPr>
        <w:t xml:space="preserve"> </w:t>
      </w:r>
      <w:r>
        <w:t>prices</w:t>
      </w:r>
      <w:r>
        <w:rPr>
          <w:spacing w:val="-2"/>
        </w:rPr>
        <w:t xml:space="preserve"> </w:t>
      </w:r>
      <w:r>
        <w:t>for</w:t>
      </w:r>
      <w:r>
        <w:rPr>
          <w:spacing w:val="-1"/>
        </w:rPr>
        <w:t xml:space="preserve"> </w:t>
      </w:r>
      <w:r>
        <w:t>the</w:t>
      </w:r>
      <w:r>
        <w:rPr>
          <w:spacing w:val="-1"/>
        </w:rPr>
        <w:t xml:space="preserve"> </w:t>
      </w:r>
      <w:r>
        <w:t>products</w:t>
      </w:r>
      <w:r>
        <w:rPr>
          <w:spacing w:val="-2"/>
        </w:rPr>
        <w:t xml:space="preserve"> </w:t>
      </w:r>
      <w:r>
        <w:t>sold</w:t>
      </w:r>
      <w:r>
        <w:rPr>
          <w:spacing w:val="-1"/>
        </w:rPr>
        <w:t xml:space="preserve"> </w:t>
      </w:r>
      <w:r>
        <w:t>to</w:t>
      </w:r>
      <w:r>
        <w:rPr>
          <w:spacing w:val="-4"/>
        </w:rPr>
        <w:t xml:space="preserve"> </w:t>
      </w:r>
      <w:r>
        <w:t>wholesalers,</w:t>
      </w:r>
      <w:r>
        <w:rPr>
          <w:spacing w:val="-2"/>
        </w:rPr>
        <w:t xml:space="preserve"> </w:t>
      </w:r>
      <w:r>
        <w:t>before</w:t>
      </w:r>
      <w:r>
        <w:rPr>
          <w:spacing w:val="-1"/>
        </w:rPr>
        <w:t xml:space="preserve"> </w:t>
      </w:r>
      <w:r>
        <w:t>any</w:t>
      </w:r>
      <w:r>
        <w:rPr>
          <w:spacing w:val="-2"/>
        </w:rPr>
        <w:t xml:space="preserve"> </w:t>
      </w:r>
      <w:r>
        <w:t>discount,</w:t>
      </w:r>
      <w:r>
        <w:rPr>
          <w:spacing w:val="-2"/>
        </w:rPr>
        <w:t xml:space="preserve"> </w:t>
      </w:r>
      <w:r>
        <w:t>rebate, or</w:t>
      </w:r>
      <w:r>
        <w:rPr>
          <w:spacing w:val="-4"/>
        </w:rPr>
        <w:t xml:space="preserve"> </w:t>
      </w:r>
      <w:r>
        <w:t>other</w:t>
      </w:r>
      <w:r>
        <w:rPr>
          <w:spacing w:val="-1"/>
        </w:rPr>
        <w:t xml:space="preserve"> </w:t>
      </w:r>
      <w:r>
        <w:t>price</w:t>
      </w:r>
      <w:r>
        <w:rPr>
          <w:spacing w:val="-1"/>
        </w:rPr>
        <w:t xml:space="preserve"> </w:t>
      </w:r>
      <w:r>
        <w:t>reduction.</w:t>
      </w:r>
      <w:r>
        <w:rPr>
          <w:spacing w:val="-2"/>
        </w:rPr>
        <w:t xml:space="preserve"> </w:t>
      </w:r>
      <w:r>
        <w:t>The</w:t>
      </w:r>
      <w:r>
        <w:rPr>
          <w:spacing w:val="-2"/>
        </w:rPr>
        <w:t xml:space="preserve"> </w:t>
      </w:r>
      <w:r>
        <w:t>WAC prices</w:t>
      </w:r>
      <w:r>
        <w:rPr>
          <w:spacing w:val="-3"/>
        </w:rPr>
        <w:t xml:space="preserve"> </w:t>
      </w:r>
      <w:r>
        <w:t>listed</w:t>
      </w:r>
      <w:r>
        <w:rPr>
          <w:spacing w:val="-4"/>
        </w:rPr>
        <w:t xml:space="preserve"> </w:t>
      </w:r>
      <w:r>
        <w:t>may differ</w:t>
      </w:r>
      <w:r>
        <w:rPr>
          <w:spacing w:val="-4"/>
        </w:rPr>
        <w:t xml:space="preserve"> </w:t>
      </w:r>
      <w:r>
        <w:t>significantly</w:t>
      </w:r>
      <w:r>
        <w:rPr>
          <w:spacing w:val="-3"/>
        </w:rPr>
        <w:t xml:space="preserve"> </w:t>
      </w:r>
      <w:r>
        <w:t>from</w:t>
      </w:r>
      <w:r>
        <w:rPr>
          <w:spacing w:val="-1"/>
        </w:rPr>
        <w:t xml:space="preserve"> </w:t>
      </w:r>
      <w:r>
        <w:t>actual</w:t>
      </w:r>
      <w:r>
        <w:rPr>
          <w:spacing w:val="-4"/>
        </w:rPr>
        <w:t xml:space="preserve"> </w:t>
      </w:r>
      <w:r>
        <w:t>prices paid by</w:t>
      </w:r>
      <w:r>
        <w:rPr>
          <w:spacing w:val="-5"/>
        </w:rPr>
        <w:t xml:space="preserve"> </w:t>
      </w:r>
      <w:r>
        <w:t>customers and</w:t>
      </w:r>
      <w:r>
        <w:rPr>
          <w:spacing w:val="-5"/>
        </w:rPr>
        <w:t xml:space="preserve"> </w:t>
      </w:r>
      <w:r>
        <w:t>consumers.</w:t>
      </w:r>
      <w:r>
        <w:rPr>
          <w:spacing w:val="-1"/>
        </w:rPr>
        <w:t xml:space="preserve"> </w:t>
      </w:r>
      <w:r>
        <w:t>Check</w:t>
      </w:r>
      <w:r>
        <w:rPr>
          <w:spacing w:val="-3"/>
        </w:rPr>
        <w:t xml:space="preserve"> </w:t>
      </w:r>
      <w:r>
        <w:t>with</w:t>
      </w:r>
      <w:r>
        <w:rPr>
          <w:spacing w:val="-7"/>
        </w:rPr>
        <w:t xml:space="preserve"> </w:t>
      </w:r>
      <w:r>
        <w:t>your</w:t>
      </w:r>
      <w:r>
        <w:rPr>
          <w:spacing w:val="-2"/>
        </w:rPr>
        <w:t xml:space="preserve"> </w:t>
      </w:r>
      <w:r>
        <w:t>patient’s</w:t>
      </w:r>
      <w:r>
        <w:rPr>
          <w:spacing w:val="-2"/>
        </w:rPr>
        <w:t xml:space="preserve"> </w:t>
      </w:r>
      <w:r>
        <w:t>prescription</w:t>
      </w:r>
      <w:r>
        <w:rPr>
          <w:spacing w:val="-5"/>
        </w:rPr>
        <w:t xml:space="preserve"> </w:t>
      </w:r>
      <w:r>
        <w:t>drug insurance plan to determine your patient’s</w:t>
      </w:r>
      <w:r>
        <w:rPr>
          <w:spacing w:val="11"/>
        </w:rPr>
        <w:t xml:space="preserve"> </w:t>
      </w:r>
      <w:r>
        <w:t>out-of-pocket costs. Patients may check with their health insurance company or</w:t>
      </w:r>
      <w:r>
        <w:rPr>
          <w:spacing w:val="40"/>
        </w:rPr>
        <w:t xml:space="preserve"> </w:t>
      </w:r>
      <w:r>
        <w:t xml:space="preserve">pharmacy to understand their out-of-pocket costs associated with the </w:t>
      </w:r>
      <w:r>
        <w:rPr>
          <w:color w:val="313131"/>
        </w:rPr>
        <w:t xml:space="preserve">Nestlé Health Science Marketed Product listed in this </w:t>
      </w:r>
      <w:r>
        <w:rPr>
          <w:color w:val="313131"/>
          <w:spacing w:val="-2"/>
        </w:rPr>
        <w:t>Disclosure.</w:t>
      </w:r>
    </w:p>
    <w:p w14:paraId="0A29F46F" w14:textId="77777777" w:rsidR="00300EEE" w:rsidRDefault="00300EEE">
      <w:pPr>
        <w:pStyle w:val="BodyText"/>
        <w:spacing w:before="27"/>
      </w:pPr>
    </w:p>
    <w:p w14:paraId="0692F442" w14:textId="77777777" w:rsidR="00300EEE" w:rsidRDefault="00000000">
      <w:pPr>
        <w:pStyle w:val="BodyText"/>
        <w:spacing w:before="1" w:line="276" w:lineRule="auto"/>
        <w:ind w:left="100" w:right="133"/>
      </w:pPr>
      <w:r>
        <w:t>**This list does not imply that the Generic Drug(s) listed are interchangeable or have the same efficacy or safety as the</w:t>
      </w:r>
      <w:r>
        <w:rPr>
          <w:spacing w:val="-7"/>
        </w:rPr>
        <w:t xml:space="preserve"> </w:t>
      </w:r>
      <w:r>
        <w:t>Aimmune Marketed</w:t>
      </w:r>
      <w:r>
        <w:rPr>
          <w:spacing w:val="-4"/>
        </w:rPr>
        <w:t xml:space="preserve"> </w:t>
      </w:r>
      <w:r>
        <w:t>Product,</w:t>
      </w:r>
      <w:r>
        <w:rPr>
          <w:spacing w:val="-2"/>
        </w:rPr>
        <w:t xml:space="preserve"> </w:t>
      </w:r>
      <w:r>
        <w:t>and</w:t>
      </w:r>
      <w:r>
        <w:rPr>
          <w:spacing w:val="-1"/>
        </w:rPr>
        <w:t xml:space="preserve"> </w:t>
      </w:r>
      <w:r>
        <w:t>no</w:t>
      </w:r>
      <w:r>
        <w:rPr>
          <w:spacing w:val="-3"/>
        </w:rPr>
        <w:t xml:space="preserve"> </w:t>
      </w:r>
      <w:r>
        <w:t>comparisons</w:t>
      </w:r>
      <w:r>
        <w:rPr>
          <w:spacing w:val="-2"/>
        </w:rPr>
        <w:t xml:space="preserve"> </w:t>
      </w:r>
      <w:r>
        <w:t>should</w:t>
      </w:r>
      <w:r>
        <w:rPr>
          <w:spacing w:val="-3"/>
        </w:rPr>
        <w:t xml:space="preserve"> </w:t>
      </w:r>
      <w:r>
        <w:t>be</w:t>
      </w:r>
      <w:r>
        <w:rPr>
          <w:spacing w:val="-1"/>
        </w:rPr>
        <w:t xml:space="preserve"> </w:t>
      </w:r>
      <w:r>
        <w:t>made.</w:t>
      </w:r>
      <w:r>
        <w:rPr>
          <w:spacing w:val="-2"/>
        </w:rPr>
        <w:t xml:space="preserve"> </w:t>
      </w:r>
      <w:r>
        <w:t>Please</w:t>
      </w:r>
      <w:r>
        <w:rPr>
          <w:spacing w:val="-4"/>
        </w:rPr>
        <w:t xml:space="preserve"> </w:t>
      </w:r>
      <w:r>
        <w:t>refer</w:t>
      </w:r>
      <w:r>
        <w:rPr>
          <w:spacing w:val="-1"/>
        </w:rPr>
        <w:t xml:space="preserve"> </w:t>
      </w:r>
      <w:r>
        <w:t>to</w:t>
      </w:r>
      <w:r>
        <w:rPr>
          <w:spacing w:val="-1"/>
        </w:rPr>
        <w:t xml:space="preserve"> </w:t>
      </w:r>
      <w:r>
        <w:t>each</w:t>
      </w:r>
      <w:r>
        <w:rPr>
          <w:spacing w:val="-1"/>
        </w:rPr>
        <w:t xml:space="preserve"> </w:t>
      </w:r>
      <w:r>
        <w:t>product's U.S.</w:t>
      </w:r>
      <w:r>
        <w:rPr>
          <w:spacing w:val="-2"/>
        </w:rPr>
        <w:t xml:space="preserve"> </w:t>
      </w:r>
      <w:r>
        <w:t>Food</w:t>
      </w:r>
      <w:r>
        <w:rPr>
          <w:spacing w:val="-1"/>
        </w:rPr>
        <w:t xml:space="preserve"> </w:t>
      </w:r>
      <w:r>
        <w:t>and</w:t>
      </w:r>
      <w:r>
        <w:rPr>
          <w:spacing w:val="-6"/>
        </w:rPr>
        <w:t xml:space="preserve"> </w:t>
      </w:r>
      <w:r>
        <w:t>Drug</w:t>
      </w:r>
      <w:r>
        <w:rPr>
          <w:spacing w:val="-11"/>
        </w:rPr>
        <w:t xml:space="preserve"> </w:t>
      </w:r>
      <w:r>
        <w:t>Administration</w:t>
      </w:r>
      <w:r>
        <w:rPr>
          <w:spacing w:val="-4"/>
        </w:rPr>
        <w:t xml:space="preserve"> </w:t>
      </w:r>
      <w:r>
        <w:t>(FDA)- approved labeling and indication for further information.</w:t>
      </w:r>
    </w:p>
    <w:p w14:paraId="4EB148B7" w14:textId="77777777" w:rsidR="00300EEE" w:rsidRDefault="00300EEE">
      <w:pPr>
        <w:pStyle w:val="BodyText"/>
        <w:spacing w:before="26"/>
      </w:pPr>
    </w:p>
    <w:sectPr w:rsidR="00300EEE">
      <w:footerReference w:type="default" r:id="rId7"/>
      <w:type w:val="continuous"/>
      <w:pgSz w:w="12240" w:h="15840"/>
      <w:pgMar w:top="1360" w:right="1320" w:bottom="1800" w:left="1340" w:header="0" w:footer="16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9664" w14:textId="77777777" w:rsidR="00CE47FB" w:rsidRDefault="00CE47FB">
      <w:r>
        <w:separator/>
      </w:r>
    </w:p>
  </w:endnote>
  <w:endnote w:type="continuationSeparator" w:id="0">
    <w:p w14:paraId="31A9D7D9" w14:textId="77777777" w:rsidR="00CE47FB" w:rsidRDefault="00CE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7062" w14:textId="68D48AF4" w:rsidR="006A62B3" w:rsidRPr="004423BB" w:rsidRDefault="006A62B3" w:rsidP="006A62B3">
    <w:pPr>
      <w:spacing w:before="1"/>
      <w:ind w:left="100" w:right="133"/>
      <w:rPr>
        <w:color w:val="000000" w:themeColor="text1"/>
        <w:spacing w:val="-2"/>
        <w:sz w:val="20"/>
      </w:rPr>
    </w:pPr>
    <w:r w:rsidRPr="004423BB">
      <w:rPr>
        <w:color w:val="000000" w:themeColor="text1"/>
        <w:sz w:val="20"/>
      </w:rPr>
      <w:t>All</w:t>
    </w:r>
    <w:r w:rsidRPr="004423BB">
      <w:rPr>
        <w:color w:val="000000" w:themeColor="text1"/>
        <w:spacing w:val="-4"/>
        <w:sz w:val="20"/>
      </w:rPr>
      <w:t xml:space="preserve"> </w:t>
    </w:r>
    <w:r w:rsidRPr="004423BB">
      <w:rPr>
        <w:color w:val="000000" w:themeColor="text1"/>
        <w:sz w:val="20"/>
      </w:rPr>
      <w:t>trademarks</w:t>
    </w:r>
    <w:r w:rsidRPr="004423BB">
      <w:rPr>
        <w:color w:val="000000" w:themeColor="text1"/>
        <w:spacing w:val="-4"/>
        <w:sz w:val="20"/>
      </w:rPr>
      <w:t xml:space="preserve"> </w:t>
    </w:r>
    <w:r w:rsidRPr="004423BB">
      <w:rPr>
        <w:color w:val="000000" w:themeColor="text1"/>
        <w:sz w:val="20"/>
      </w:rPr>
      <w:t>are</w:t>
    </w:r>
    <w:r w:rsidRPr="004423BB">
      <w:rPr>
        <w:color w:val="000000" w:themeColor="text1"/>
        <w:spacing w:val="-5"/>
        <w:sz w:val="20"/>
      </w:rPr>
      <w:t xml:space="preserve"> </w:t>
    </w:r>
    <w:r w:rsidRPr="004423BB">
      <w:rPr>
        <w:color w:val="000000" w:themeColor="text1"/>
        <w:sz w:val="20"/>
      </w:rPr>
      <w:t xml:space="preserve">owned by Société des </w:t>
    </w:r>
    <w:proofErr w:type="spellStart"/>
    <w:r w:rsidRPr="004423BB">
      <w:rPr>
        <w:color w:val="000000" w:themeColor="text1"/>
        <w:sz w:val="20"/>
      </w:rPr>
      <w:t>Produits</w:t>
    </w:r>
    <w:proofErr w:type="spellEnd"/>
    <w:r w:rsidRPr="004423BB">
      <w:rPr>
        <w:color w:val="000000" w:themeColor="text1"/>
        <w:sz w:val="20"/>
      </w:rPr>
      <w:t xml:space="preserve"> Nestlé S.A., Vevey, Switzerland or used with permission. ©</w:t>
    </w:r>
    <w:r w:rsidRPr="004423BB">
      <w:rPr>
        <w:color w:val="000000" w:themeColor="text1"/>
        <w:spacing w:val="-5"/>
        <w:sz w:val="20"/>
      </w:rPr>
      <w:t xml:space="preserve"> </w:t>
    </w:r>
    <w:r w:rsidRPr="004423BB">
      <w:rPr>
        <w:color w:val="000000" w:themeColor="text1"/>
        <w:sz w:val="20"/>
      </w:rPr>
      <w:t>2025</w:t>
    </w:r>
    <w:r w:rsidRPr="004423BB">
      <w:rPr>
        <w:color w:val="000000" w:themeColor="text1"/>
        <w:spacing w:val="-6"/>
        <w:sz w:val="20"/>
      </w:rPr>
      <w:t xml:space="preserve"> </w:t>
    </w:r>
    <w:r w:rsidRPr="004423BB">
      <w:rPr>
        <w:color w:val="000000" w:themeColor="text1"/>
        <w:spacing w:val="-2"/>
        <w:sz w:val="20"/>
      </w:rPr>
      <w:t>Nestlé.</w:t>
    </w:r>
  </w:p>
  <w:p w14:paraId="6D1740B9" w14:textId="0EC23A55" w:rsidR="006A62B3" w:rsidRPr="004423BB" w:rsidRDefault="006A62B3" w:rsidP="006A62B3">
    <w:pPr>
      <w:spacing w:before="1"/>
      <w:ind w:left="100" w:right="133"/>
      <w:jc w:val="right"/>
      <w:rPr>
        <w:color w:val="000000" w:themeColor="text1"/>
        <w:sz w:val="20"/>
      </w:rPr>
    </w:pPr>
    <w:r w:rsidRPr="004423BB">
      <w:rPr>
        <w:color w:val="000000" w:themeColor="text1"/>
        <w:spacing w:val="-2"/>
        <w:sz w:val="20"/>
      </w:rPr>
      <w:t>VOW-NP-USA-0049 01/25</w:t>
    </w:r>
  </w:p>
  <w:p w14:paraId="6A39D8A2" w14:textId="63E4217C" w:rsidR="00300EEE" w:rsidRDefault="00300EEE" w:rsidP="006A62B3">
    <w:pPr>
      <w:pStyle w:val="BodyText"/>
      <w:spacing w:line="14" w:lineRule="auto"/>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986B" w14:textId="77777777" w:rsidR="00CE47FB" w:rsidRDefault="00CE47FB">
      <w:r>
        <w:separator/>
      </w:r>
    </w:p>
  </w:footnote>
  <w:footnote w:type="continuationSeparator" w:id="0">
    <w:p w14:paraId="40D01ADC" w14:textId="77777777" w:rsidR="00CE47FB" w:rsidRDefault="00CE4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EE"/>
    <w:rsid w:val="00300EEE"/>
    <w:rsid w:val="00363FF9"/>
    <w:rsid w:val="00397C6C"/>
    <w:rsid w:val="004423BB"/>
    <w:rsid w:val="00484CE4"/>
    <w:rsid w:val="004B64C8"/>
    <w:rsid w:val="004D1E9E"/>
    <w:rsid w:val="005C5274"/>
    <w:rsid w:val="00625BD8"/>
    <w:rsid w:val="006A62B3"/>
    <w:rsid w:val="00905E02"/>
    <w:rsid w:val="009A2775"/>
    <w:rsid w:val="009B52E9"/>
    <w:rsid w:val="00A0207C"/>
    <w:rsid w:val="00A46E0F"/>
    <w:rsid w:val="00BB491E"/>
    <w:rsid w:val="00CA5ECE"/>
    <w:rsid w:val="00CC47BB"/>
    <w:rsid w:val="00CE47FB"/>
    <w:rsid w:val="00D4230E"/>
    <w:rsid w:val="00E06CF0"/>
    <w:rsid w:val="00EB6FC3"/>
    <w:rsid w:val="00F930A2"/>
    <w:rsid w:val="00FC3BB8"/>
    <w:rsid w:val="00FD7790"/>
    <w:rsid w:val="00FE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10C74"/>
  <w15:docId w15:val="{0B581314-572A-4BA9-967C-9F55F8BE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81"/>
      <w:ind w:right="2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9B52E9"/>
    <w:pPr>
      <w:widowControl/>
      <w:autoSpaceDE/>
      <w:autoSpaceDN/>
    </w:pPr>
    <w:rPr>
      <w:rFonts w:ascii="Arial" w:eastAsia="Arial" w:hAnsi="Arial" w:cs="Arial"/>
    </w:rPr>
  </w:style>
  <w:style w:type="paragraph" w:styleId="Header">
    <w:name w:val="header"/>
    <w:basedOn w:val="Normal"/>
    <w:link w:val="HeaderChar"/>
    <w:uiPriority w:val="99"/>
    <w:unhideWhenUsed/>
    <w:rsid w:val="009B52E9"/>
    <w:pPr>
      <w:tabs>
        <w:tab w:val="center" w:pos="4680"/>
        <w:tab w:val="right" w:pos="9360"/>
      </w:tabs>
    </w:pPr>
  </w:style>
  <w:style w:type="character" w:customStyle="1" w:styleId="HeaderChar">
    <w:name w:val="Header Char"/>
    <w:basedOn w:val="DefaultParagraphFont"/>
    <w:link w:val="Header"/>
    <w:uiPriority w:val="99"/>
    <w:rsid w:val="009B52E9"/>
    <w:rPr>
      <w:rFonts w:ascii="Arial" w:eastAsia="Arial" w:hAnsi="Arial" w:cs="Arial"/>
    </w:rPr>
  </w:style>
  <w:style w:type="paragraph" w:styleId="Footer">
    <w:name w:val="footer"/>
    <w:basedOn w:val="Normal"/>
    <w:link w:val="FooterChar"/>
    <w:uiPriority w:val="99"/>
    <w:unhideWhenUsed/>
    <w:rsid w:val="009B52E9"/>
    <w:pPr>
      <w:tabs>
        <w:tab w:val="center" w:pos="4680"/>
        <w:tab w:val="right" w:pos="9360"/>
      </w:tabs>
    </w:pPr>
  </w:style>
  <w:style w:type="character" w:customStyle="1" w:styleId="FooterChar">
    <w:name w:val="Footer Char"/>
    <w:basedOn w:val="DefaultParagraphFont"/>
    <w:link w:val="Footer"/>
    <w:uiPriority w:val="99"/>
    <w:rsid w:val="009B52E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wst.com/WACdisclosur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Melissa</dc:creator>
  <cp:lastModifiedBy>Deana Christiano</cp:lastModifiedBy>
  <cp:revision>2</cp:revision>
  <dcterms:created xsi:type="dcterms:W3CDTF">2025-01-30T20:12:00Z</dcterms:created>
  <dcterms:modified xsi:type="dcterms:W3CDTF">2025-01-30T20:12:00Z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Microsoft® Word for Microsoft 365</vt:lpwstr>
  </property>
  <property fmtid="{D5CDD505-2E9C-101B-9397-08002B2CF9AE}" pid="4" name="LastSaved">
    <vt:filetime>2025-01-10T00:00:00Z</vt:filetime>
  </property>
  <property fmtid="{D5CDD505-2E9C-101B-9397-08002B2CF9AE}" pid="5" name="MSIP_Label_1ada0a2f-b917-4d51-b0d0-d418a10c8b23_ActionId">
    <vt:lpwstr>95307eb1-9caf-483e-bffe-40319243fe46</vt:lpwstr>
  </property>
  <property fmtid="{D5CDD505-2E9C-101B-9397-08002B2CF9AE}" pid="6" name="MSIP_Label_1ada0a2f-b917-4d51-b0d0-d418a10c8b23_ContentBits">
    <vt:lpwstr>0</vt:lpwstr>
  </property>
  <property fmtid="{D5CDD505-2E9C-101B-9397-08002B2CF9AE}" pid="7" name="MSIP_Label_1ada0a2f-b917-4d51-b0d0-d418a10c8b23_Enabled">
    <vt:lpwstr>true</vt:lpwstr>
  </property>
  <property fmtid="{D5CDD505-2E9C-101B-9397-08002B2CF9AE}" pid="8" name="MSIP_Label_1ada0a2f-b917-4d51-b0d0-d418a10c8b23_Method">
    <vt:lpwstr>Standard</vt:lpwstr>
  </property>
  <property fmtid="{D5CDD505-2E9C-101B-9397-08002B2CF9AE}" pid="9" name="MSIP_Label_1ada0a2f-b917-4d51-b0d0-d418a10c8b23_Name">
    <vt:lpwstr>1ada0a2f-b917-4d51-b0d0-d418a10c8b23</vt:lpwstr>
  </property>
  <property fmtid="{D5CDD505-2E9C-101B-9397-08002B2CF9AE}" pid="10" name="MSIP_Label_1ada0a2f-b917-4d51-b0d0-d418a10c8b23_SetDate">
    <vt:lpwstr>2024-05-10T13:19:02Z</vt:lpwstr>
  </property>
  <property fmtid="{D5CDD505-2E9C-101B-9397-08002B2CF9AE}" pid="11" name="MSIP_Label_1ada0a2f-b917-4d51-b0d0-d418a10c8b23_SiteId">
    <vt:lpwstr>12a3af23-a769-4654-847f-958f3d479f4a</vt:lpwstr>
  </property>
  <property fmtid="{D5CDD505-2E9C-101B-9397-08002B2CF9AE}" pid="12" name="Producer">
    <vt:lpwstr>Microsoft® Word for Microsoft 365</vt:lpwstr>
  </property>
</Properties>
</file>